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8313" w:type="dxa"/>
        <w:tblInd w:w="96" w:type="dxa"/>
        <w:tblLayout w:type="autofit"/>
        <w:tblCellMar>
          <w:top w:w="0" w:type="dxa"/>
          <w:left w:w="108" w:type="dxa"/>
          <w:bottom w:w="0" w:type="dxa"/>
          <w:right w:w="108" w:type="dxa"/>
        </w:tblCellMar>
      </w:tblPr>
      <w:tblGrid>
        <w:gridCol w:w="2078"/>
        <w:gridCol w:w="2078"/>
        <w:gridCol w:w="2078"/>
        <w:gridCol w:w="2079"/>
      </w:tblGrid>
      <w:tr>
        <w:tblPrEx>
          <w:tblCellMar>
            <w:top w:w="0" w:type="dxa"/>
            <w:left w:w="108" w:type="dxa"/>
            <w:bottom w:w="0" w:type="dxa"/>
            <w:right w:w="108" w:type="dxa"/>
          </w:tblCellMar>
        </w:tblPrEx>
        <w:trPr>
          <w:trHeight w:val="613" w:hRule="atLeast"/>
        </w:trPr>
        <w:tc>
          <w:tcPr>
            <w:tcW w:w="8313" w:type="dxa"/>
            <w:gridSpan w:val="4"/>
            <w:tcBorders>
              <w:top w:val="nil"/>
              <w:left w:val="nil"/>
              <w:bottom w:val="nil"/>
              <w:right w:val="nil"/>
            </w:tcBorders>
            <w:noWrap w:val="0"/>
            <w:vAlign w:val="center"/>
          </w:tcPr>
          <w:p>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徐州市本级项目支出绩效自评价情况表</w:t>
            </w:r>
          </w:p>
        </w:tc>
      </w:tr>
      <w:tr>
        <w:tblPrEx>
          <w:tblCellMar>
            <w:top w:w="0" w:type="dxa"/>
            <w:left w:w="108" w:type="dxa"/>
            <w:bottom w:w="0" w:type="dxa"/>
            <w:right w:w="108" w:type="dxa"/>
          </w:tblCellMar>
        </w:tblPrEx>
        <w:trPr>
          <w:trHeight w:val="534" w:hRule="atLeast"/>
        </w:trPr>
        <w:tc>
          <w:tcPr>
            <w:tcW w:w="20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填报单位：</w:t>
            </w:r>
          </w:p>
        </w:tc>
        <w:tc>
          <w:tcPr>
            <w:tcW w:w="207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徐州市老干部活动（服务）中心</w:t>
            </w:r>
          </w:p>
        </w:tc>
        <w:tc>
          <w:tcPr>
            <w:tcW w:w="207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项目名称：</w:t>
            </w:r>
          </w:p>
        </w:tc>
        <w:tc>
          <w:tcPr>
            <w:tcW w:w="207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离退休干部慰问经费</w:t>
            </w:r>
          </w:p>
        </w:tc>
      </w:tr>
      <w:tr>
        <w:tblPrEx>
          <w:tblCellMar>
            <w:top w:w="0" w:type="dxa"/>
            <w:left w:w="108" w:type="dxa"/>
            <w:bottom w:w="0" w:type="dxa"/>
            <w:right w:w="108" w:type="dxa"/>
          </w:tblCellMar>
        </w:tblPrEx>
        <w:trPr>
          <w:trHeight w:val="534" w:hRule="atLeast"/>
        </w:trPr>
        <w:tc>
          <w:tcPr>
            <w:tcW w:w="2078"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项目实施年度：</w:t>
            </w:r>
          </w:p>
        </w:tc>
        <w:tc>
          <w:tcPr>
            <w:tcW w:w="6235" w:type="dxa"/>
            <w:gridSpan w:val="3"/>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lang w:eastAsia="zh-CN"/>
              </w:rPr>
            </w:pPr>
            <w:r>
              <w:rPr>
                <w:rFonts w:hint="eastAsia" w:ascii="宋体" w:hAnsi="宋体" w:eastAsia="宋体" w:cs="宋体"/>
                <w:i w:val="0"/>
                <w:color w:val="000000"/>
                <w:kern w:val="0"/>
                <w:sz w:val="20"/>
                <w:szCs w:val="20"/>
                <w:u w:val="none"/>
                <w:lang w:val="en-US" w:eastAsia="zh-CN" w:bidi="ar"/>
              </w:rPr>
              <w:t>2023</w:t>
            </w:r>
          </w:p>
        </w:tc>
      </w:tr>
      <w:tr>
        <w:tblPrEx>
          <w:tblCellMar>
            <w:top w:w="0" w:type="dxa"/>
            <w:left w:w="108" w:type="dxa"/>
            <w:bottom w:w="0" w:type="dxa"/>
            <w:right w:w="108" w:type="dxa"/>
          </w:tblCellMar>
        </w:tblPrEx>
        <w:trPr>
          <w:trHeight w:val="678" w:hRule="atLeast"/>
        </w:trPr>
        <w:tc>
          <w:tcPr>
            <w:tcW w:w="2078"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项目实施开始时间</w:t>
            </w:r>
            <w:r>
              <w:rPr>
                <w:rFonts w:hint="eastAsia" w:ascii="宋体" w:hAnsi="宋体" w:eastAsia="宋体" w:cs="宋体"/>
                <w:b/>
                <w:i w:val="0"/>
                <w:color w:val="000000"/>
                <w:kern w:val="0"/>
                <w:sz w:val="20"/>
                <w:szCs w:val="20"/>
                <w:u w:val="none"/>
                <w:lang w:val="en-US" w:eastAsia="zh-CN" w:bidi="ar"/>
              </w:rPr>
              <w:br w:type="textWrapping"/>
            </w:r>
            <w:r>
              <w:rPr>
                <w:rFonts w:hint="eastAsia" w:ascii="宋体" w:hAnsi="宋体" w:eastAsia="宋体" w:cs="宋体"/>
                <w:b/>
                <w:i w:val="0"/>
                <w:color w:val="000000"/>
                <w:kern w:val="0"/>
                <w:sz w:val="20"/>
                <w:szCs w:val="20"/>
                <w:u w:val="none"/>
                <w:lang w:val="en-US" w:eastAsia="zh-CN" w:bidi="ar"/>
              </w:rPr>
              <w:t>（年/月）：</w:t>
            </w:r>
          </w:p>
        </w:tc>
        <w:tc>
          <w:tcPr>
            <w:tcW w:w="2078" w:type="dxa"/>
            <w:tcBorders>
              <w:top w:val="nil"/>
              <w:left w:val="nil"/>
              <w:bottom w:val="single" w:color="000000" w:sz="4" w:space="0"/>
              <w:right w:val="single" w:color="000000"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01</w:t>
            </w:r>
          </w:p>
        </w:tc>
        <w:tc>
          <w:tcPr>
            <w:tcW w:w="2078" w:type="dxa"/>
            <w:tcBorders>
              <w:top w:val="nil"/>
              <w:left w:val="nil"/>
              <w:bottom w:val="single" w:color="000000" w:sz="4" w:space="0"/>
              <w:right w:val="single" w:color="000000" w:sz="4" w:space="0"/>
            </w:tcBorders>
            <w:noWrap w:val="0"/>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项目实施完成时间</w:t>
            </w:r>
            <w:r>
              <w:rPr>
                <w:rFonts w:hint="eastAsia" w:ascii="宋体" w:hAnsi="宋体" w:cs="宋体"/>
                <w:b/>
                <w:bCs/>
                <w:color w:val="000000"/>
                <w:kern w:val="0"/>
                <w:sz w:val="20"/>
                <w:szCs w:val="20"/>
              </w:rPr>
              <w:br w:type="textWrapping"/>
            </w:r>
            <w:r>
              <w:rPr>
                <w:rFonts w:hint="eastAsia" w:ascii="宋体" w:hAnsi="宋体" w:cs="宋体"/>
                <w:b/>
                <w:bCs/>
                <w:color w:val="000000"/>
                <w:kern w:val="0"/>
                <w:sz w:val="20"/>
                <w:szCs w:val="20"/>
              </w:rPr>
              <w:t>（年/月）：</w:t>
            </w:r>
          </w:p>
        </w:tc>
        <w:tc>
          <w:tcPr>
            <w:tcW w:w="2078" w:type="dxa"/>
            <w:tcBorders>
              <w:top w:val="nil"/>
              <w:left w:val="nil"/>
              <w:bottom w:val="single" w:color="000000" w:sz="4" w:space="0"/>
              <w:right w:val="single" w:color="000000"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w:t>
            </w:r>
            <w:r>
              <w:rPr>
                <w:rFonts w:hint="eastAsia" w:ascii="宋体" w:hAnsi="宋体" w:cs="宋体"/>
                <w:color w:val="000000"/>
                <w:kern w:val="0"/>
                <w:sz w:val="20"/>
                <w:szCs w:val="20"/>
                <w:lang w:val="en-US" w:eastAsia="zh-CN"/>
              </w:rPr>
              <w:t>3</w:t>
            </w:r>
            <w:r>
              <w:rPr>
                <w:rFonts w:hint="eastAsia" w:ascii="宋体" w:hAnsi="宋体" w:cs="宋体"/>
                <w:color w:val="000000"/>
                <w:kern w:val="0"/>
                <w:sz w:val="20"/>
                <w:szCs w:val="20"/>
              </w:rPr>
              <w:t>12</w:t>
            </w:r>
          </w:p>
        </w:tc>
      </w:tr>
      <w:tr>
        <w:tblPrEx>
          <w:tblCellMar>
            <w:top w:w="0" w:type="dxa"/>
            <w:left w:w="108" w:type="dxa"/>
            <w:bottom w:w="0" w:type="dxa"/>
            <w:right w:w="108" w:type="dxa"/>
          </w:tblCellMar>
        </w:tblPrEx>
        <w:trPr>
          <w:trHeight w:val="387"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项目自评情况</w:t>
            </w:r>
          </w:p>
        </w:tc>
      </w:tr>
      <w:tr>
        <w:tblPrEx>
          <w:tblCellMar>
            <w:top w:w="0" w:type="dxa"/>
            <w:left w:w="108" w:type="dxa"/>
            <w:bottom w:w="0" w:type="dxa"/>
            <w:right w:w="108" w:type="dxa"/>
          </w:tblCellMar>
        </w:tblPrEx>
        <w:trPr>
          <w:trHeight w:val="613"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一、项目概况（项目政策、资金分配使用、项目实施情况等）</w:t>
            </w:r>
          </w:p>
        </w:tc>
      </w:tr>
      <w:tr>
        <w:tblPrEx>
          <w:tblCellMar>
            <w:top w:w="0" w:type="dxa"/>
            <w:left w:w="108" w:type="dxa"/>
            <w:bottom w:w="0" w:type="dxa"/>
            <w:right w:w="108" w:type="dxa"/>
          </w:tblCellMar>
        </w:tblPrEx>
        <w:trPr>
          <w:trHeight w:val="966"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由于机构改革后市编办重新核定单位业务范围，新增了“市机关老干部政策待遇的落实保障”等职责，并结合过去几年确有对相关离退休干部走访慰问无项目经费保障，挤占了办公经费的情况，故经专题研究决定，新增“离退休干部慰问”专项经费。</w:t>
            </w:r>
          </w:p>
        </w:tc>
      </w:tr>
      <w:tr>
        <w:tblPrEx>
          <w:tblCellMar>
            <w:top w:w="0" w:type="dxa"/>
            <w:left w:w="108" w:type="dxa"/>
            <w:bottom w:w="0" w:type="dxa"/>
            <w:right w:w="108" w:type="dxa"/>
          </w:tblCellMar>
        </w:tblPrEx>
        <w:trPr>
          <w:trHeight w:val="613"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二、评价情况（评价思路、方式、做法，以及评价指标体系设置和评价结论等）</w:t>
            </w:r>
          </w:p>
        </w:tc>
      </w:tr>
      <w:tr>
        <w:tblPrEx>
          <w:tblCellMar>
            <w:top w:w="0" w:type="dxa"/>
            <w:left w:w="108" w:type="dxa"/>
            <w:bottom w:w="0" w:type="dxa"/>
            <w:right w:w="108" w:type="dxa"/>
          </w:tblCellMar>
        </w:tblPrEx>
        <w:trPr>
          <w:trHeight w:val="1454"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ind w:firstLine="400" w:firstLineChars="200"/>
              <w:jc w:val="left"/>
              <w:rPr>
                <w:rFonts w:hint="eastAsia" w:ascii="宋体" w:hAnsi="宋体" w:cs="宋体"/>
                <w:color w:val="000000"/>
                <w:kern w:val="0"/>
                <w:sz w:val="20"/>
                <w:szCs w:val="20"/>
              </w:rPr>
            </w:pPr>
            <w:r>
              <w:rPr>
                <w:rFonts w:hint="eastAsia" w:ascii="宋体" w:hAnsi="宋体" w:cs="宋体"/>
                <w:color w:val="000000"/>
                <w:kern w:val="0"/>
                <w:sz w:val="20"/>
                <w:szCs w:val="20"/>
              </w:rPr>
              <w:t>1.明确评价程序。初步确定绩效评价工作应包括前期准备情况、项目实施情况、完成情况三个阶段。</w:t>
            </w:r>
          </w:p>
          <w:p>
            <w:pPr>
              <w:widowControl/>
              <w:ind w:firstLine="400" w:firstLineChars="200"/>
              <w:jc w:val="left"/>
              <w:rPr>
                <w:rFonts w:hint="eastAsia" w:ascii="宋体" w:hAnsi="宋体" w:cs="宋体"/>
                <w:color w:val="000000"/>
                <w:kern w:val="0"/>
                <w:sz w:val="20"/>
                <w:szCs w:val="20"/>
              </w:rPr>
            </w:pPr>
            <w:r>
              <w:rPr>
                <w:rFonts w:hint="eastAsia" w:ascii="宋体" w:hAnsi="宋体" w:cs="宋体"/>
                <w:color w:val="000000"/>
                <w:kern w:val="0"/>
                <w:sz w:val="20"/>
                <w:szCs w:val="20"/>
              </w:rPr>
              <w:t>2.确定评价内容。从前期筹备工作开始到项目实施阶段以及最后项目完成情况进行综合评价。重点评价项目预算情况、预算执行情况以及绩效目标</w:t>
            </w:r>
            <w:r>
              <w:rPr>
                <w:rFonts w:hint="eastAsia" w:ascii="宋体" w:hAnsi="宋体" w:cs="宋体"/>
                <w:color w:val="000000"/>
                <w:kern w:val="0"/>
                <w:sz w:val="20"/>
                <w:szCs w:val="20"/>
                <w:lang w:eastAsia="zh-CN"/>
              </w:rPr>
              <w:t>完成</w:t>
            </w:r>
            <w:r>
              <w:rPr>
                <w:rFonts w:hint="eastAsia" w:ascii="宋体" w:hAnsi="宋体" w:cs="宋体"/>
                <w:color w:val="000000"/>
                <w:kern w:val="0"/>
                <w:sz w:val="20"/>
                <w:szCs w:val="20"/>
              </w:rPr>
              <w:t>情况。</w:t>
            </w:r>
          </w:p>
          <w:p>
            <w:pPr>
              <w:jc w:val="left"/>
              <w:rPr>
                <w:rFonts w:hint="eastAsia" w:ascii="宋体" w:hAnsi="宋体" w:cs="宋体"/>
                <w:color w:val="000000"/>
                <w:kern w:val="0"/>
                <w:sz w:val="20"/>
                <w:szCs w:val="20"/>
              </w:rPr>
            </w:pPr>
            <w:r>
              <w:rPr>
                <w:rFonts w:hint="eastAsia" w:ascii="宋体" w:hAnsi="宋体" w:cs="宋体"/>
                <w:color w:val="000000"/>
                <w:kern w:val="0"/>
                <w:sz w:val="20"/>
                <w:szCs w:val="20"/>
              </w:rPr>
              <w:t>3.形成评价结果。结合项目支出绩效，形成评价结果。包括产生指标情况、效益目标实现情况、项目管理情况等。</w:t>
            </w:r>
            <w:bookmarkStart w:id="0" w:name="_GoBack"/>
            <w:bookmarkEnd w:id="0"/>
          </w:p>
        </w:tc>
      </w:tr>
      <w:tr>
        <w:tblPrEx>
          <w:tblCellMar>
            <w:top w:w="0" w:type="dxa"/>
            <w:left w:w="108" w:type="dxa"/>
            <w:bottom w:w="0" w:type="dxa"/>
            <w:right w:w="108" w:type="dxa"/>
          </w:tblCellMar>
        </w:tblPrEx>
        <w:trPr>
          <w:trHeight w:val="613"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三、项目绩效（通过绩效评价发现并总结的项目绩效）</w:t>
            </w:r>
          </w:p>
        </w:tc>
      </w:tr>
      <w:tr>
        <w:tblPrEx>
          <w:tblCellMar>
            <w:top w:w="0" w:type="dxa"/>
            <w:left w:w="108" w:type="dxa"/>
            <w:bottom w:w="0" w:type="dxa"/>
            <w:right w:w="108" w:type="dxa"/>
          </w:tblCellMar>
        </w:tblPrEx>
        <w:trPr>
          <w:trHeight w:val="1093"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lang w:eastAsia="zh-CN"/>
              </w:rPr>
            </w:pPr>
            <w:r>
              <w:rPr>
                <w:rFonts w:hint="eastAsia" w:ascii="宋体" w:hAnsi="宋体" w:eastAsia="宋体" w:cs="宋体"/>
                <w:i w:val="0"/>
                <w:color w:val="000000"/>
                <w:kern w:val="0"/>
                <w:sz w:val="20"/>
                <w:szCs w:val="20"/>
                <w:u w:val="none"/>
                <w:lang w:val="en-US" w:eastAsia="zh-CN" w:bidi="ar"/>
              </w:rPr>
              <w:t>通过绩效评价，清楚的认识到，通过重大节日对符合条件的离退休干部进行走访慰问和重要庆典特殊待遇的落实保障，保障了老干部相关政策落实到位，温情的慰问也进一步夯实了老干部理想信念，鼓励了老干部继续发挥余热，传播红色正能量。</w:t>
            </w:r>
          </w:p>
        </w:tc>
      </w:tr>
      <w:tr>
        <w:tblPrEx>
          <w:tblCellMar>
            <w:top w:w="0" w:type="dxa"/>
            <w:left w:w="108" w:type="dxa"/>
            <w:bottom w:w="0" w:type="dxa"/>
            <w:right w:w="108" w:type="dxa"/>
          </w:tblCellMar>
        </w:tblPrEx>
        <w:trPr>
          <w:trHeight w:val="613"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四、存在问题（通过绩效评价所发现的问题，原则上按照决策、过程、产出、效益、满意度分别归类撰写）</w:t>
            </w:r>
          </w:p>
        </w:tc>
      </w:tr>
      <w:tr>
        <w:tblPrEx>
          <w:tblCellMar>
            <w:top w:w="0" w:type="dxa"/>
            <w:left w:w="108" w:type="dxa"/>
            <w:bottom w:w="0" w:type="dxa"/>
            <w:right w:w="108" w:type="dxa"/>
          </w:tblCellMar>
        </w:tblPrEx>
        <w:trPr>
          <w:trHeight w:val="1058"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lang w:eastAsia="zh-CN"/>
              </w:rPr>
            </w:pPr>
            <w:r>
              <w:rPr>
                <w:rFonts w:hint="eastAsia" w:ascii="宋体" w:hAnsi="宋体" w:eastAsia="宋体" w:cs="宋体"/>
                <w:i w:val="0"/>
                <w:color w:val="000000"/>
                <w:kern w:val="0"/>
                <w:sz w:val="20"/>
                <w:szCs w:val="20"/>
                <w:u w:val="none"/>
                <w:lang w:val="en-US" w:eastAsia="zh-CN" w:bidi="ar"/>
              </w:rPr>
              <w:t xml:space="preserve"> (一)在决策方面：财政预算安排单项工作经费不足，难以足额保障开展专项工作。对于绩效评价的认识不够深入，把预算绩效简单等同于工作目标、工作考核和业务管理。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（二）在过程方面：绩效目标和指标往往根据项目实际完成情况制定，对项目执行过程有效约束不够，存在一定的偏差。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（三）在产出方面：在绩效考评指标的设计上，部分特色指标缺乏数据支持和可行的分析测评，绩效指标体系有待完善。</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四）在效益方面：由于总体资金不足，在重大节日无法对符合条件的离退休干部进行全面走访慰问，全面落实好重要庆典特殊待遇保障，进一步夯实老干部理想信念，鼓励老干部继续发挥余热，传播红色正能量，通过开展温情走访慰问，引导老干部发挥余热等方面存在不足。</w:t>
            </w:r>
          </w:p>
        </w:tc>
      </w:tr>
      <w:tr>
        <w:tblPrEx>
          <w:tblCellMar>
            <w:top w:w="0" w:type="dxa"/>
            <w:left w:w="108" w:type="dxa"/>
            <w:bottom w:w="0" w:type="dxa"/>
            <w:right w:w="108" w:type="dxa"/>
          </w:tblCellMar>
        </w:tblPrEx>
        <w:trPr>
          <w:trHeight w:val="445"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ascii="宋体" w:hAnsi="宋体" w:cs="宋体"/>
                <w:b/>
                <w:bCs/>
                <w:color w:val="000000"/>
                <w:kern w:val="0"/>
                <w:sz w:val="20"/>
                <w:szCs w:val="20"/>
              </w:rPr>
            </w:pPr>
            <w:r>
              <w:rPr>
                <w:rFonts w:hint="eastAsia" w:ascii="宋体" w:hAnsi="宋体" w:eastAsia="宋体" w:cs="宋体"/>
                <w:b/>
                <w:i w:val="0"/>
                <w:color w:val="000000"/>
                <w:kern w:val="0"/>
                <w:sz w:val="20"/>
                <w:szCs w:val="20"/>
                <w:u w:val="none"/>
                <w:lang w:val="en-US" w:eastAsia="zh-CN" w:bidi="ar"/>
              </w:rPr>
              <w:t>五、有关建议（针对存在的问题，分别提出相关完善或整改建议）</w:t>
            </w:r>
          </w:p>
        </w:tc>
      </w:tr>
      <w:tr>
        <w:tblPrEx>
          <w:tblCellMar>
            <w:top w:w="0" w:type="dxa"/>
            <w:left w:w="108" w:type="dxa"/>
            <w:bottom w:w="0" w:type="dxa"/>
            <w:right w:w="108" w:type="dxa"/>
          </w:tblCellMar>
        </w:tblPrEx>
        <w:trPr>
          <w:trHeight w:val="1121" w:hRule="atLeast"/>
        </w:trPr>
        <w:tc>
          <w:tcPr>
            <w:tcW w:w="831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color w:val="FF0000"/>
                <w:kern w:val="0"/>
                <w:sz w:val="20"/>
                <w:szCs w:val="20"/>
              </w:rPr>
            </w:pPr>
            <w:r>
              <w:rPr>
                <w:rFonts w:hint="eastAsia" w:ascii="宋体" w:hAnsi="宋体" w:eastAsia="宋体" w:cs="宋体"/>
                <w:i w:val="0"/>
                <w:color w:val="000000"/>
                <w:kern w:val="0"/>
                <w:sz w:val="20"/>
                <w:szCs w:val="20"/>
                <w:u w:val="none"/>
                <w:lang w:val="en-US" w:eastAsia="zh-CN" w:bidi="ar"/>
              </w:rPr>
              <w:t>(一)在决策方面：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要加强对预算绩效管理的组织领导，切实转变思想观念，牢固树立绩效意识。积极履行预算绩效管理主体责任，按照预算和绩效管理一体化要求，结合自身业务特点，深入分析徐州市老干部活动中心预算绩效管理工作实际，建立健全部门预算绩效管理工作组织体系和制度体系，优化预算管理流程，完善内控制度，加强预算绩效管理力量，充实预算绩效管理人员，明确落实部门内部绩效管理牵头部门，人员及事前绩效评估、绩效目标设置、绩效跟踪监控，绩效评价的责任分工，将绩效管理责任分解落实到具体部门、明确到具体责任人，加强业务工作与财务工作紧密衔接，确保每一笔资金花得安全、用得高效，推动全面实施预算绩效管理工作常态化、制度化、规范化。</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(二)在过程方面：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根据项目实施进度及时拨付资金，尽可能减少资金拨付环节和资金拨付时间，避免资金闲置，截留，提高资金使用效率，避免造成财政资源浪费。</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(三)在产出方面：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要根据制定的绩效目标，根据要求，做好预算执行工作，进一步加强单位内部机构各室的预算管理意识，严格按照预算编制的相关制度和要求进行预算执行，加强财务管理，严格财务审核，加强单位财务管理，健全单位财务管理制度体系，规范单位财务行为，在费用报账支付时，按照预算规定的费用项目和用途进行资金使用审核、列报支付、财务核算，度绝超支现象的发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(四)在效益方面：</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进一步增加预算，在重大节日对符合条件的离退休干部进行走访慰问，落实好重要庆典特殊待遇保障，进一步夯实老干部理想信念，鼓励老干部继续发挥余热，传播红色正能量，通过开展温情走访慰问，引导老干部发挥余热。</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5D7995"/>
    <w:rsid w:val="7E6D1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2024-09-14T02:27:00Z</dcterms:created>
  <dc:creator>Administrator</dc:creator>
  <cp:lastModifiedBy>Administrator</cp:lastModifiedBy>
  <dcterms:modified xsi:type="dcterms:W3CDTF">2024-09-14T02:41:39Z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